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E93CD9"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In the case of M/s K&amp;N’s Foods (</w:t>
      </w:r>
      <w:proofErr w:type="spellStart"/>
      <w:r>
        <w:rPr>
          <w:rFonts w:ascii="Arial" w:hAnsi="Arial" w:cs="Arial"/>
          <w:color w:val="1F2937"/>
          <w:sz w:val="27"/>
          <w:szCs w:val="27"/>
        </w:rPr>
        <w:t>Pvt.</w:t>
      </w:r>
      <w:proofErr w:type="spellEnd"/>
      <w:r>
        <w:rPr>
          <w:rFonts w:ascii="Arial" w:hAnsi="Arial" w:cs="Arial"/>
          <w:color w:val="1F2937"/>
          <w:sz w:val="27"/>
          <w:szCs w:val="27"/>
        </w:rPr>
        <w:t xml:space="preserve">) Ltd. vs. Federation of Pakistan, the Lahore High Court ruled in </w:t>
      </w:r>
      <w:proofErr w:type="spellStart"/>
      <w:r>
        <w:rPr>
          <w:rFonts w:ascii="Arial" w:hAnsi="Arial" w:cs="Arial"/>
          <w:color w:val="1F2937"/>
          <w:sz w:val="27"/>
          <w:szCs w:val="27"/>
        </w:rPr>
        <w:t>favor</w:t>
      </w:r>
      <w:proofErr w:type="spellEnd"/>
      <w:r>
        <w:rPr>
          <w:rFonts w:ascii="Arial" w:hAnsi="Arial" w:cs="Arial"/>
          <w:color w:val="1F2937"/>
          <w:sz w:val="27"/>
          <w:szCs w:val="27"/>
        </w:rPr>
        <w:t xml:space="preserve"> of the petitioners, setting aside the revocation of their income tax exemption certificates. The court found that the amendment in Section 153(4) of the Income Tax Ordinance, introduced by the Finance Act, 2024, did not have retrospective effect and thus could not invalidate the exemption certificates issued before its effective date of July 1, 2024.</w:t>
      </w:r>
    </w:p>
    <w:p w14:paraId="31D04186"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D6E92B7"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Analysis &amp; Commentary</w:t>
      </w:r>
    </w:p>
    <w:p w14:paraId="35FF3293"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A43FECE"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Court and Jurisdiction:</w:t>
      </w:r>
      <w:r>
        <w:rPr>
          <w:rFonts w:ascii="Arial" w:hAnsi="Arial" w:cs="Arial"/>
          <w:color w:val="1F2937"/>
          <w:sz w:val="27"/>
          <w:szCs w:val="27"/>
        </w:rPr>
        <w:t> Lahore High Court</w:t>
      </w:r>
    </w:p>
    <w:p w14:paraId="3D92F0A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49277CB4"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Case Type:</w:t>
      </w:r>
      <w:r>
        <w:rPr>
          <w:rFonts w:ascii="Arial" w:hAnsi="Arial" w:cs="Arial"/>
          <w:color w:val="1F2937"/>
          <w:sz w:val="27"/>
          <w:szCs w:val="27"/>
        </w:rPr>
        <w:t> Writ Petition</w:t>
      </w:r>
    </w:p>
    <w:p w14:paraId="0AE7E228"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7CDBC70F"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Statutes &amp; Legal Principles:</w:t>
      </w:r>
    </w:p>
    <w:p w14:paraId="167082F0"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Article 199 of the Constitution of Pakistan</w:t>
      </w:r>
    </w:p>
    <w:p w14:paraId="755BE7A8"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Income Tax Ordinance, Section 153(4) (amended by Finance Act, 2024)</w:t>
      </w:r>
    </w:p>
    <w:p w14:paraId="61D31A41"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r>
      <w:r>
        <w:rPr>
          <w:rStyle w:val="Strong"/>
          <w:rFonts w:ascii="Arial" w:hAnsi="Arial" w:cs="Arial"/>
          <w:color w:val="1F2937"/>
          <w:sz w:val="27"/>
          <w:szCs w:val="27"/>
          <w:bdr w:val="single" w:sz="2" w:space="0" w:color="E5E7EB" w:frame="1"/>
        </w:rPr>
        <w:t>Case Law:</w:t>
      </w:r>
      <w:hyperlink r:id="rId5" w:history="1">
        <w:r>
          <w:rPr>
            <w:rStyle w:val="Strong"/>
            <w:rFonts w:ascii="Arial" w:hAnsi="Arial" w:cs="Arial"/>
            <w:color w:val="4D99E6"/>
            <w:sz w:val="27"/>
            <w:szCs w:val="27"/>
            <w:u w:val="single"/>
            <w:bdr w:val="single" w:sz="2" w:space="0" w:color="E5E7EB" w:frame="1"/>
          </w:rPr>
          <w:t> Molasses Trading vs. Federation of Pakistan (1993 SCMR 1905)</w:t>
        </w:r>
      </w:hyperlink>
      <w:r>
        <w:rPr>
          <w:rFonts w:ascii="Arial" w:hAnsi="Arial" w:cs="Arial"/>
          <w:color w:val="1F2937"/>
          <w:sz w:val="27"/>
          <w:szCs w:val="27"/>
        </w:rPr>
        <w:t>, </w:t>
      </w:r>
      <w:hyperlink r:id="rId6" w:history="1">
        <w:r>
          <w:rPr>
            <w:rStyle w:val="Strong"/>
            <w:rFonts w:ascii="Arial" w:hAnsi="Arial" w:cs="Arial"/>
            <w:color w:val="4D99E6"/>
            <w:sz w:val="27"/>
            <w:szCs w:val="27"/>
            <w:u w:val="single"/>
            <w:bdr w:val="single" w:sz="2" w:space="0" w:color="E5E7EB" w:frame="1"/>
          </w:rPr>
          <w:t>Muhammad Hussain and others vs. Muhammad and others (2000 SCMR 367)</w:t>
        </w:r>
      </w:hyperlink>
    </w:p>
    <w:p w14:paraId="7AA32420"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5FADCAC5"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Key Facts and Core Legal Question:</w:t>
      </w:r>
    </w:p>
    <w:p w14:paraId="2948DE2E"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6B8052C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Facts:</w:t>
      </w:r>
      <w:r>
        <w:rPr>
          <w:rFonts w:ascii="Arial" w:hAnsi="Arial" w:cs="Arial"/>
          <w:color w:val="1F2937"/>
          <w:sz w:val="27"/>
          <w:szCs w:val="27"/>
        </w:rPr>
        <w:t xml:space="preserve"> The petitioners, K&amp;N’s Foods and </w:t>
      </w:r>
      <w:proofErr w:type="spellStart"/>
      <w:r>
        <w:rPr>
          <w:rFonts w:ascii="Arial" w:hAnsi="Arial" w:cs="Arial"/>
          <w:color w:val="1F2937"/>
          <w:sz w:val="27"/>
          <w:szCs w:val="27"/>
        </w:rPr>
        <w:t>Fauji</w:t>
      </w:r>
      <w:proofErr w:type="spellEnd"/>
      <w:r>
        <w:rPr>
          <w:rFonts w:ascii="Arial" w:hAnsi="Arial" w:cs="Arial"/>
          <w:color w:val="1F2937"/>
          <w:sz w:val="27"/>
          <w:szCs w:val="27"/>
        </w:rPr>
        <w:t xml:space="preserve"> Foods, held tax exemption certificates issued before the Finance Act’s amendment took effect. The Commissioner of Inland Revenue later revoked these certificates, citing the amendment.</w:t>
      </w:r>
    </w:p>
    <w:p w14:paraId="34F5058C"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r>
      <w:r>
        <w:rPr>
          <w:rStyle w:val="Strong"/>
          <w:rFonts w:ascii="Arial" w:hAnsi="Arial" w:cs="Arial"/>
          <w:color w:val="1F2937"/>
          <w:sz w:val="27"/>
          <w:szCs w:val="27"/>
          <w:bdr w:val="single" w:sz="2" w:space="0" w:color="E5E7EB" w:frame="1"/>
        </w:rPr>
        <w:t>Legal Question:</w:t>
      </w:r>
      <w:r>
        <w:rPr>
          <w:rFonts w:ascii="Arial" w:hAnsi="Arial" w:cs="Arial"/>
          <w:color w:val="1F2937"/>
          <w:sz w:val="27"/>
          <w:szCs w:val="27"/>
        </w:rPr>
        <w:t> Can an amendment in the tax law have retrospective effect on exemption certificates issued prior to its enactment?</w:t>
      </w:r>
    </w:p>
    <w:p w14:paraId="36E29092"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2CD0FA2C"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Arguments:</w:t>
      </w:r>
    </w:p>
    <w:p w14:paraId="681A283F"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Petitioners argued the amendment lacks retrospective effect and that they had already fulfilled their tax liabilities based on the certificates issued before the amendment.</w:t>
      </w:r>
    </w:p>
    <w:p w14:paraId="4E86F6E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Respondents contended that the certificates were invalid because the amended law was effective at the time the tax year commenced.</w:t>
      </w:r>
    </w:p>
    <w:p w14:paraId="2ABB5CC8"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70E31C1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Legal Principles:</w:t>
      </w:r>
    </w:p>
    <w:p w14:paraId="53B9FB2B"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r>
      <w:r>
        <w:rPr>
          <w:rStyle w:val="Strong"/>
          <w:rFonts w:ascii="Arial" w:hAnsi="Arial" w:cs="Arial"/>
          <w:color w:val="1F2937"/>
          <w:sz w:val="27"/>
          <w:szCs w:val="27"/>
          <w:bdr w:val="single" w:sz="2" w:space="0" w:color="E5E7EB" w:frame="1"/>
        </w:rPr>
        <w:t>Retrospective Legislation:</w:t>
      </w:r>
      <w:r>
        <w:rPr>
          <w:rFonts w:ascii="Arial" w:hAnsi="Arial" w:cs="Arial"/>
          <w:color w:val="1F2937"/>
          <w:sz w:val="27"/>
          <w:szCs w:val="27"/>
        </w:rPr>
        <w:t> Generally, laws affecting substantive rights are presumed to operate prospectively unless explicitly stated otherwise.</w:t>
      </w:r>
    </w:p>
    <w:p w14:paraId="20E585D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The court leaned on established principles that statutes affecting vested rights should not be applied retrospectively unless absolutely necessary.</w:t>
      </w:r>
    </w:p>
    <w:p w14:paraId="204CBEE2"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3B43B0E7"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Court’s Reasoning:</w:t>
      </w:r>
      <w:r>
        <w:rPr>
          <w:rFonts w:ascii="Arial" w:hAnsi="Arial" w:cs="Arial"/>
          <w:color w:val="1F2937"/>
          <w:sz w:val="27"/>
          <w:szCs w:val="27"/>
        </w:rPr>
        <w:br/>
        <w:t> </w:t>
      </w:r>
    </w:p>
    <w:p w14:paraId="2EE66EB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The Finance Act, 2024, specified that its provisions, including the amendment to Section 153(4), were effective from July 1, 2024, without retrospective application. Thus, exemption certificates issued before this date remained valid.</w:t>
      </w:r>
    </w:p>
    <w:p w14:paraId="5932A31F"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The court referenced precedent cases supporting the principle against retroactive application in the absence of clear legislative intent.</w:t>
      </w:r>
    </w:p>
    <w:p w14:paraId="06A8B608"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15BF540"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Non-Binding Observations:</w:t>
      </w:r>
      <w:r>
        <w:rPr>
          <w:rFonts w:ascii="Arial" w:hAnsi="Arial" w:cs="Arial"/>
          <w:color w:val="1F2937"/>
          <w:sz w:val="27"/>
          <w:szCs w:val="27"/>
        </w:rPr>
        <w:br/>
        <w:t>The court noted the absence of an explicit provision for retrospective effect in the Finance Act, 2024.</w:t>
      </w:r>
    </w:p>
    <w:p w14:paraId="0FDC4F67"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1DEC9E9"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Citations:</w:t>
      </w:r>
      <w:r>
        <w:rPr>
          <w:rFonts w:ascii="Arial" w:hAnsi="Arial" w:cs="Arial"/>
          <w:color w:val="1F2937"/>
          <w:sz w:val="27"/>
          <w:szCs w:val="27"/>
        </w:rPr>
        <w:br/>
        <w:t> </w:t>
      </w:r>
    </w:p>
    <w:p w14:paraId="2AF4988F"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hyperlink r:id="rId7" w:history="1">
        <w:r>
          <w:rPr>
            <w:rStyle w:val="Strong"/>
            <w:rFonts w:ascii="Arial" w:hAnsi="Arial" w:cs="Arial"/>
            <w:color w:val="4D99E6"/>
            <w:sz w:val="27"/>
            <w:szCs w:val="27"/>
            <w:u w:val="single"/>
            <w:bdr w:val="single" w:sz="2" w:space="0" w:color="E5E7EB" w:frame="1"/>
          </w:rPr>
          <w:t>Molasses Trading vs. Federation of Pakistan (1993 SCMR 1905)</w:t>
        </w:r>
      </w:hyperlink>
      <w:r>
        <w:rPr>
          <w:rFonts w:ascii="Arial" w:hAnsi="Arial" w:cs="Arial"/>
          <w:color w:val="1F2937"/>
          <w:sz w:val="27"/>
          <w:szCs w:val="27"/>
        </w:rPr>
        <w:t>: Established guidelines on legislative power and retrospective law application.</w:t>
      </w:r>
    </w:p>
    <w:p w14:paraId="048D602C"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r>
      <w:hyperlink r:id="rId8" w:history="1">
        <w:r>
          <w:rPr>
            <w:rStyle w:val="Strong"/>
            <w:rFonts w:ascii="Arial" w:hAnsi="Arial" w:cs="Arial"/>
            <w:color w:val="4D99E6"/>
            <w:sz w:val="27"/>
            <w:szCs w:val="27"/>
            <w:u w:val="single"/>
            <w:bdr w:val="single" w:sz="2" w:space="0" w:color="E5E7EB" w:frame="1"/>
          </w:rPr>
          <w:t>Muhammad Hussain and others vs. Muhammad and others (2000 SCMR 367)</w:t>
        </w:r>
      </w:hyperlink>
      <w:r>
        <w:rPr>
          <w:rFonts w:ascii="Arial" w:hAnsi="Arial" w:cs="Arial"/>
          <w:color w:val="1F2937"/>
          <w:sz w:val="27"/>
          <w:szCs w:val="27"/>
        </w:rPr>
        <w:t>: Affirmed the presumption against retroactivity in substantive rights legislation.</w:t>
      </w:r>
    </w:p>
    <w:p w14:paraId="3EAF30A1"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61E9769D"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Impact on Legal Precedents:</w:t>
      </w:r>
      <w:r>
        <w:rPr>
          <w:rFonts w:ascii="Arial" w:hAnsi="Arial" w:cs="Arial"/>
          <w:color w:val="1F2937"/>
          <w:sz w:val="27"/>
          <w:szCs w:val="27"/>
        </w:rPr>
        <w:br/>
        <w:t> </w:t>
      </w:r>
    </w:p>
    <w:p w14:paraId="547854FA"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Reinforces a cautious approach to retroactive legislation, especially where vested rights are concerned.</w:t>
      </w:r>
    </w:p>
    <w:p w14:paraId="2760E2E6"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Confirms the necessity of clear legislative language for retrospective application.</w:t>
      </w:r>
    </w:p>
    <w:p w14:paraId="4AED507E"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0D35E1CB"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Implications:</w:t>
      </w:r>
    </w:p>
    <w:p w14:paraId="6723F16D"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This judgment may influence future cases where amendments impact pre-existing rights, affirming that new laws must explicitly state retroactive intent.</w:t>
      </w:r>
    </w:p>
    <w:p w14:paraId="68F1C3C7"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DF099B0"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Broader Impact:</w:t>
      </w:r>
      <w:r>
        <w:rPr>
          <w:rFonts w:ascii="Arial" w:hAnsi="Arial" w:cs="Arial"/>
          <w:color w:val="1F2937"/>
          <w:sz w:val="27"/>
          <w:szCs w:val="27"/>
        </w:rPr>
        <w:br/>
        <w:t>The ruling upholds taxpayer protections against retroactive application of amendments, which could deter similar revocations.</w:t>
      </w:r>
    </w:p>
    <w:p w14:paraId="3244BA19"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t> </w:t>
      </w:r>
    </w:p>
    <w:p w14:paraId="11A41DA9"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Style w:val="Strong"/>
          <w:rFonts w:ascii="Arial" w:hAnsi="Arial" w:cs="Arial"/>
          <w:color w:val="1F2937"/>
          <w:sz w:val="27"/>
          <w:szCs w:val="27"/>
          <w:bdr w:val="single" w:sz="2" w:space="0" w:color="E5E7EB" w:frame="1"/>
        </w:rPr>
        <w:t>Key Insights</w:t>
      </w:r>
    </w:p>
    <w:p w14:paraId="6012A84C"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Retrospective laws affecting substantive rights must have clear legislative intent.</w:t>
      </w:r>
    </w:p>
    <w:p w14:paraId="46CF4586"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Taxpayers’ pre-existing rights and compliance remain protected if acquired under prior laws.</w:t>
      </w:r>
    </w:p>
    <w:p w14:paraId="18AAFE53" w14:textId="77777777" w:rsidR="008D3F38" w:rsidRDefault="008D3F38" w:rsidP="008D3F38">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1F2937"/>
          <w:sz w:val="27"/>
          <w:szCs w:val="27"/>
        </w:rPr>
      </w:pPr>
      <w:r>
        <w:rPr>
          <w:rFonts w:ascii="Arial" w:hAnsi="Arial" w:cs="Arial"/>
          <w:color w:val="1F2937"/>
          <w:sz w:val="27"/>
          <w:szCs w:val="27"/>
        </w:rPr>
        <w:br/>
        <w:t xml:space="preserve">Courts </w:t>
      </w:r>
      <w:proofErr w:type="spellStart"/>
      <w:r>
        <w:rPr>
          <w:rFonts w:ascii="Arial" w:hAnsi="Arial" w:cs="Arial"/>
          <w:color w:val="1F2937"/>
          <w:sz w:val="27"/>
          <w:szCs w:val="27"/>
        </w:rPr>
        <w:t>favor</w:t>
      </w:r>
      <w:proofErr w:type="spellEnd"/>
      <w:r>
        <w:rPr>
          <w:rFonts w:ascii="Arial" w:hAnsi="Arial" w:cs="Arial"/>
          <w:color w:val="1F2937"/>
          <w:sz w:val="27"/>
          <w:szCs w:val="27"/>
        </w:rPr>
        <w:t xml:space="preserve"> a restrictive interpretation of retroactivity to protect vested rights.</w:t>
      </w:r>
      <w:r>
        <w:rPr>
          <w:rFonts w:ascii="Arial" w:hAnsi="Arial" w:cs="Arial"/>
          <w:color w:val="1F2937"/>
          <w:sz w:val="27"/>
          <w:szCs w:val="27"/>
        </w:rPr>
        <w:br/>
      </w:r>
      <w:r>
        <w:rPr>
          <w:rFonts w:ascii="Arial" w:hAnsi="Arial" w:cs="Arial"/>
          <w:color w:val="1F2937"/>
          <w:sz w:val="27"/>
          <w:szCs w:val="27"/>
        </w:rPr>
        <w:br/>
      </w:r>
      <w:r>
        <w:rPr>
          <w:rFonts w:ascii="Arial" w:hAnsi="Arial" w:cs="Arial"/>
          <w:color w:val="1F2937"/>
          <w:sz w:val="27"/>
          <w:szCs w:val="27"/>
        </w:rPr>
        <w:br/>
      </w:r>
      <w:r>
        <w:rPr>
          <w:rStyle w:val="Strong"/>
          <w:rFonts w:ascii="Arial" w:hAnsi="Arial" w:cs="Arial"/>
          <w:color w:val="1F2937"/>
          <w:sz w:val="27"/>
          <w:szCs w:val="27"/>
          <w:bdr w:val="single" w:sz="2" w:space="0" w:color="E5E7EB" w:frame="1"/>
        </w:rPr>
        <w:t>Read Full Judgment:</w:t>
      </w:r>
      <w:r>
        <w:rPr>
          <w:rFonts w:ascii="Arial" w:hAnsi="Arial" w:cs="Arial"/>
          <w:color w:val="1F2937"/>
          <w:sz w:val="27"/>
          <w:szCs w:val="27"/>
        </w:rPr>
        <w:br/>
      </w:r>
      <w:bookmarkStart w:id="0" w:name="_GoBack"/>
      <w:bookmarkEnd w:id="0"/>
      <w:r>
        <w:rPr>
          <w:rFonts w:ascii="Arial" w:hAnsi="Arial" w:cs="Arial"/>
          <w:color w:val="1F2937"/>
          <w:sz w:val="27"/>
          <w:szCs w:val="27"/>
        </w:rPr>
        <w:br/>
      </w:r>
      <w:hyperlink r:id="rId9" w:history="1">
        <w:r>
          <w:rPr>
            <w:rStyle w:val="Strong"/>
            <w:rFonts w:ascii="Arial" w:hAnsi="Arial" w:cs="Arial"/>
            <w:color w:val="4D99E6"/>
            <w:sz w:val="27"/>
            <w:szCs w:val="27"/>
            <w:u w:val="single"/>
            <w:bdr w:val="single" w:sz="2" w:space="0" w:color="E5E7EB" w:frame="1"/>
          </w:rPr>
          <w:t>M/s K&amp;N’s Foods (</w:t>
        </w:r>
        <w:proofErr w:type="spellStart"/>
        <w:r>
          <w:rPr>
            <w:rStyle w:val="Strong"/>
            <w:rFonts w:ascii="Arial" w:hAnsi="Arial" w:cs="Arial"/>
            <w:color w:val="4D99E6"/>
            <w:sz w:val="27"/>
            <w:szCs w:val="27"/>
            <w:u w:val="single"/>
            <w:bdr w:val="single" w:sz="2" w:space="0" w:color="E5E7EB" w:frame="1"/>
          </w:rPr>
          <w:t>Pvt.</w:t>
        </w:r>
        <w:proofErr w:type="spellEnd"/>
        <w:r>
          <w:rPr>
            <w:rStyle w:val="Strong"/>
            <w:rFonts w:ascii="Arial" w:hAnsi="Arial" w:cs="Arial"/>
            <w:color w:val="4D99E6"/>
            <w:sz w:val="27"/>
            <w:szCs w:val="27"/>
            <w:u w:val="single"/>
            <w:bdr w:val="single" w:sz="2" w:space="0" w:color="E5E7EB" w:frame="1"/>
          </w:rPr>
          <w:t>) Ltd vs Federation of Pakistan, etc</w:t>
        </w:r>
      </w:hyperlink>
    </w:p>
    <w:p w14:paraId="115FC770" w14:textId="77777777" w:rsidR="00D049D4" w:rsidRPr="00BC78FA" w:rsidRDefault="00D049D4" w:rsidP="00BC78FA"/>
    <w:sectPr w:rsidR="00D049D4" w:rsidRPr="00BC7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01057"/>
    <w:multiLevelType w:val="multilevel"/>
    <w:tmpl w:val="165E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CD20E0"/>
    <w:multiLevelType w:val="multilevel"/>
    <w:tmpl w:val="C550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491AE8"/>
    <w:multiLevelType w:val="multilevel"/>
    <w:tmpl w:val="CD1E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923"/>
    <w:rsid w:val="00722923"/>
    <w:rsid w:val="008D3F38"/>
    <w:rsid w:val="00AC41B0"/>
    <w:rsid w:val="00BC78FA"/>
    <w:rsid w:val="00D04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50C9"/>
  <w15:chartTrackingRefBased/>
  <w15:docId w15:val="{77D868E4-466B-4F1E-AE2A-A7018919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C78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8FA"/>
    <w:rPr>
      <w:rFonts w:ascii="Times New Roman" w:eastAsia="Times New Roman" w:hAnsi="Times New Roman" w:cs="Times New Roman"/>
      <w:b/>
      <w:bCs/>
      <w:kern w:val="36"/>
      <w:sz w:val="48"/>
      <w:szCs w:val="48"/>
      <w:lang w:eastAsia="en-GB"/>
    </w:rPr>
  </w:style>
  <w:style w:type="paragraph" w:customStyle="1" w:styleId="text-xl">
    <w:name w:val="text-xl"/>
    <w:basedOn w:val="Normal"/>
    <w:rsid w:val="00BC78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rder-r-2">
    <w:name w:val="border-r-2"/>
    <w:basedOn w:val="Normal"/>
    <w:rsid w:val="00BC78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BC78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semibold">
    <w:name w:val="font-semibold"/>
    <w:basedOn w:val="DefaultParagraphFont"/>
    <w:rsid w:val="00BC78FA"/>
  </w:style>
  <w:style w:type="character" w:styleId="Strong">
    <w:name w:val="Strong"/>
    <w:basedOn w:val="DefaultParagraphFont"/>
    <w:uiPriority w:val="22"/>
    <w:qFormat/>
    <w:rsid w:val="00BC78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766713">
      <w:bodyDiv w:val="1"/>
      <w:marLeft w:val="0"/>
      <w:marRight w:val="0"/>
      <w:marTop w:val="0"/>
      <w:marBottom w:val="0"/>
      <w:divBdr>
        <w:top w:val="none" w:sz="0" w:space="0" w:color="auto"/>
        <w:left w:val="none" w:sz="0" w:space="0" w:color="auto"/>
        <w:bottom w:val="none" w:sz="0" w:space="0" w:color="auto"/>
        <w:right w:val="none" w:sz="0" w:space="0" w:color="auto"/>
      </w:divBdr>
    </w:div>
    <w:div w:id="1488590482">
      <w:bodyDiv w:val="1"/>
      <w:marLeft w:val="0"/>
      <w:marRight w:val="0"/>
      <w:marTop w:val="0"/>
      <w:marBottom w:val="0"/>
      <w:divBdr>
        <w:top w:val="none" w:sz="0" w:space="0" w:color="auto"/>
        <w:left w:val="none" w:sz="0" w:space="0" w:color="auto"/>
        <w:bottom w:val="none" w:sz="0" w:space="0" w:color="auto"/>
        <w:right w:val="none" w:sz="0" w:space="0" w:color="auto"/>
      </w:divBdr>
    </w:div>
    <w:div w:id="1890409643">
      <w:bodyDiv w:val="1"/>
      <w:marLeft w:val="0"/>
      <w:marRight w:val="0"/>
      <w:marTop w:val="0"/>
      <w:marBottom w:val="0"/>
      <w:divBdr>
        <w:top w:val="none" w:sz="0" w:space="0" w:color="auto"/>
        <w:left w:val="none" w:sz="0" w:space="0" w:color="auto"/>
        <w:bottom w:val="none" w:sz="0" w:space="0" w:color="auto"/>
        <w:right w:val="none" w:sz="0" w:space="0" w:color="auto"/>
      </w:divBdr>
      <w:divsChild>
        <w:div w:id="183981585">
          <w:marLeft w:val="0"/>
          <w:marRight w:val="0"/>
          <w:marTop w:val="0"/>
          <w:marBottom w:val="0"/>
          <w:divBdr>
            <w:top w:val="single" w:sz="2" w:space="0" w:color="E5E7EB"/>
            <w:left w:val="single" w:sz="2" w:space="0" w:color="E5E7EB"/>
            <w:bottom w:val="single" w:sz="2" w:space="0" w:color="E5E7EB"/>
            <w:right w:val="single" w:sz="2" w:space="0" w:color="E5E7EB"/>
          </w:divBdr>
          <w:divsChild>
            <w:div w:id="999844047">
              <w:marLeft w:val="0"/>
              <w:marRight w:val="0"/>
              <w:marTop w:val="0"/>
              <w:marBottom w:val="0"/>
              <w:divBdr>
                <w:top w:val="single" w:sz="2" w:space="0" w:color="E5E7EB"/>
                <w:left w:val="single" w:sz="2" w:space="0" w:color="E5E7EB"/>
                <w:bottom w:val="single" w:sz="2" w:space="0" w:color="E5E7EB"/>
                <w:right w:val="single" w:sz="2" w:space="0" w:color="E5E7EB"/>
              </w:divBdr>
            </w:div>
            <w:div w:id="2045250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tlaw.pk/cases/judgment?judgmentId=6347f5f285a8e8efab7073f2" TargetMode="External"/><Relationship Id="rId3" Type="http://schemas.openxmlformats.org/officeDocument/2006/relationships/settings" Target="settings.xml"/><Relationship Id="rId7" Type="http://schemas.openxmlformats.org/officeDocument/2006/relationships/hyperlink" Target="https://eastlaw.pk/cases/judgment?judgmentId=6347f5eb85a8e8efab702b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stlaw.pk/cases/judgment?judgmentId=6347f5f285a8e8efab7073f2" TargetMode="External"/><Relationship Id="rId11" Type="http://schemas.openxmlformats.org/officeDocument/2006/relationships/theme" Target="theme/theme1.xml"/><Relationship Id="rId5" Type="http://schemas.openxmlformats.org/officeDocument/2006/relationships/hyperlink" Target="https://eastlaw.pk/cases/judgment?judgmentId=6347f5eb85a8e8efab702b9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astlaw.pk/cases/judgment?judgmentId=670c946d4204889a7402613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603</Words>
  <Characters>3439</Characters>
  <Application>Microsoft Office Word</Application>
  <DocSecurity>0</DocSecurity>
  <Lines>28</Lines>
  <Paragraphs>8</Paragraphs>
  <ScaleCrop>false</ScaleCrop>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c:creator>
  <cp:keywords/>
  <dc:description/>
  <cp:lastModifiedBy>hi</cp:lastModifiedBy>
  <cp:revision>7</cp:revision>
  <dcterms:created xsi:type="dcterms:W3CDTF">2024-12-01T14:03:00Z</dcterms:created>
  <dcterms:modified xsi:type="dcterms:W3CDTF">2024-12-01T14:20:00Z</dcterms:modified>
</cp:coreProperties>
</file>